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5731F" w14:textId="5A8F7446" w:rsidR="003D260E" w:rsidRDefault="003D260E">
      <w:r>
        <w:t>COMMENTS: DR GTD HOLTZHAUZEN</w:t>
      </w:r>
      <w:r w:rsidR="009A5881">
        <w:t>:  27/04/2020</w:t>
      </w:r>
    </w:p>
    <w:p w14:paraId="521F3B6C" w14:textId="5B9ECA80" w:rsidR="00BF70C8" w:rsidRDefault="003D260E">
      <w:pPr>
        <w:rPr>
          <w:b/>
          <w:bCs/>
        </w:rPr>
      </w:pPr>
      <w:r w:rsidRPr="003D260E">
        <w:rPr>
          <w:b/>
          <w:bCs/>
        </w:rPr>
        <w:t>PROPOSED BUSINESS RESCUE PLANS: ORTHOTOUCH AND ZEPHAN</w:t>
      </w:r>
    </w:p>
    <w:p w14:paraId="75CB77D3" w14:textId="19C0C600" w:rsidR="003D260E" w:rsidRDefault="003D260E">
      <w:pPr>
        <w:rPr>
          <w:b/>
          <w:bCs/>
        </w:rPr>
      </w:pPr>
    </w:p>
    <w:p w14:paraId="267B5CCB" w14:textId="68F4E41F" w:rsidR="003D260E" w:rsidRDefault="003D260E" w:rsidP="00704A1E">
      <w:pPr>
        <w:jc w:val="both"/>
      </w:pPr>
      <w:r>
        <w:t>I have drafted a summation of my views on the plan and it should not be seen as being comprehensive and final. I reserve my rights to elaborate further in an appropriate forum.</w:t>
      </w:r>
      <w:r w:rsidR="00921DD4">
        <w:t xml:space="preserve"> </w:t>
      </w:r>
    </w:p>
    <w:p w14:paraId="42C8C707" w14:textId="104E2B53" w:rsidR="00EB0ECD" w:rsidRDefault="00EB0ECD" w:rsidP="00704A1E">
      <w:pPr>
        <w:jc w:val="both"/>
      </w:pPr>
    </w:p>
    <w:p w14:paraId="255C5170" w14:textId="2C4BA7EA" w:rsidR="00EB0ECD" w:rsidRDefault="00EB0ECD" w:rsidP="00704A1E">
      <w:pPr>
        <w:jc w:val="both"/>
      </w:pPr>
      <w:r>
        <w:t xml:space="preserve">The </w:t>
      </w:r>
      <w:proofErr w:type="spellStart"/>
      <w:r>
        <w:t>Ortotouch</w:t>
      </w:r>
      <w:proofErr w:type="spellEnd"/>
      <w:r>
        <w:t xml:space="preserve"> plan, to my opinion, falls short of meeting the requirements of Section 150 of the Companies Act</w:t>
      </w:r>
      <w:r w:rsidR="00704A1E">
        <w:t>. Section 150</w:t>
      </w:r>
      <w:r>
        <w:t xml:space="preserve"> provide</w:t>
      </w:r>
      <w:r w:rsidR="00921DD4">
        <w:t>s</w:t>
      </w:r>
      <w:r>
        <w:t xml:space="preserve"> guidelines for the minimum requirements of the </w:t>
      </w:r>
      <w:r w:rsidR="00704A1E">
        <w:t>information to be incorporated in</w:t>
      </w:r>
      <w:r w:rsidR="00921DD4">
        <w:t>to</w:t>
      </w:r>
      <w:r w:rsidR="00704A1E">
        <w:t xml:space="preserve"> the </w:t>
      </w:r>
      <w:r>
        <w:t xml:space="preserve">business rescue plan.  </w:t>
      </w:r>
      <w:r w:rsidR="00704A1E">
        <w:t xml:space="preserve">In terms of </w:t>
      </w:r>
      <w:r w:rsidR="007A6490">
        <w:t>s</w:t>
      </w:r>
      <w:r>
        <w:t xml:space="preserve">ub-section (2) </w:t>
      </w:r>
      <w:r w:rsidR="00704A1E">
        <w:t>t</w:t>
      </w:r>
      <w:r w:rsidRPr="00EB0ECD">
        <w:t>he business rescue plan must contain all the information reasonably required to facilitate affected persons in deciding whether or not to accept or reject the plan</w:t>
      </w:r>
      <w:r w:rsidR="00634E2E">
        <w:t xml:space="preserve">. Two independent companies </w:t>
      </w:r>
      <w:proofErr w:type="spellStart"/>
      <w:r w:rsidR="00634E2E">
        <w:t>Othotouch</w:t>
      </w:r>
      <w:proofErr w:type="spellEnd"/>
      <w:r w:rsidR="00634E2E">
        <w:t xml:space="preserve"> and Zephan </w:t>
      </w:r>
      <w:r w:rsidR="00921DD4">
        <w:t>are</w:t>
      </w:r>
      <w:r w:rsidR="00634E2E">
        <w:t xml:space="preserve"> consolidated under business rescue plan. </w:t>
      </w:r>
    </w:p>
    <w:p w14:paraId="04F1D189" w14:textId="1AACDD5E" w:rsidR="007A6490" w:rsidRDefault="00060560" w:rsidP="00704A1E">
      <w:pPr>
        <w:jc w:val="both"/>
      </w:pPr>
      <w:r>
        <w:t>It is unacceptable and legally untenable to i</w:t>
      </w:r>
      <w:r w:rsidR="00634E2E">
        <w:t>ncorpor</w:t>
      </w:r>
      <w:r w:rsidR="00921DD4">
        <w:t>a</w:t>
      </w:r>
      <w:r w:rsidR="00634E2E">
        <w:t>t</w:t>
      </w:r>
      <w:r>
        <w:t>e</w:t>
      </w:r>
      <w:r w:rsidR="00634E2E">
        <w:t xml:space="preserve"> the two companies </w:t>
      </w:r>
      <w:r>
        <w:t>into</w:t>
      </w:r>
      <w:r w:rsidR="00634E2E">
        <w:t xml:space="preserve"> one</w:t>
      </w:r>
      <w:r>
        <w:t xml:space="preserve"> entity for business rescue purposes. The two companies are individual entities and should at all time</w:t>
      </w:r>
      <w:r w:rsidR="007A6490">
        <w:t>s be</w:t>
      </w:r>
      <w:r>
        <w:t xml:space="preserve"> treated as such. Each company has </w:t>
      </w:r>
      <w:r w:rsidR="00C92F32">
        <w:t>it</w:t>
      </w:r>
      <w:r>
        <w:t>s own assets, obligations</w:t>
      </w:r>
      <w:r w:rsidR="007A6490">
        <w:t>,</w:t>
      </w:r>
      <w:r>
        <w:t xml:space="preserve"> creditors</w:t>
      </w:r>
      <w:r w:rsidR="007A6490">
        <w:t>, shareholders and management</w:t>
      </w:r>
      <w:r>
        <w:t>. Each compa</w:t>
      </w:r>
      <w:r w:rsidR="007A6490">
        <w:t>ny’s</w:t>
      </w:r>
      <w:r>
        <w:t xml:space="preserve"> financial position should be stated in </w:t>
      </w:r>
      <w:r w:rsidR="00C92F32">
        <w:t>its</w:t>
      </w:r>
      <w:r>
        <w:t xml:space="preserve"> audited financial statements</w:t>
      </w:r>
      <w:r w:rsidR="007A6490">
        <w:t>. The same reasons to show financial distress of Orthotouch cannot be advanced by Zephan and vice versa</w:t>
      </w:r>
      <w:r>
        <w:t xml:space="preserve">. Orthotouch is </w:t>
      </w:r>
      <w:r w:rsidR="007A6490">
        <w:t xml:space="preserve">and was at all relevant times </w:t>
      </w:r>
      <w:r>
        <w:t xml:space="preserve">merely an empty shell with no independent income or assets. </w:t>
      </w:r>
      <w:r w:rsidR="007A6490">
        <w:t xml:space="preserve">Orthotouch had no business and thus has no business to rescue and therefore has no right to future existence and should be liquidated. Any attempt to proceed with business rescue proceedings under the circumstances would be an abuse of the process. </w:t>
      </w:r>
    </w:p>
    <w:p w14:paraId="537BFDB1" w14:textId="75124EFE" w:rsidR="003D260E" w:rsidRDefault="00060560" w:rsidP="00704A1E">
      <w:pPr>
        <w:jc w:val="both"/>
      </w:pPr>
      <w:r>
        <w:t>Zephan owns ass</w:t>
      </w:r>
      <w:r w:rsidR="00C92F32">
        <w:t>et</w:t>
      </w:r>
      <w:r>
        <w:t xml:space="preserve">s and has </w:t>
      </w:r>
      <w:r w:rsidR="00C92F32">
        <w:t>its own</w:t>
      </w:r>
      <w:r>
        <w:t xml:space="preserve"> obligations, creditors</w:t>
      </w:r>
      <w:r w:rsidR="007A6490">
        <w:t xml:space="preserve">, </w:t>
      </w:r>
      <w:r>
        <w:t>debtors</w:t>
      </w:r>
      <w:r w:rsidR="007A6490">
        <w:t>, sh</w:t>
      </w:r>
      <w:r w:rsidR="00C92F32">
        <w:t>a</w:t>
      </w:r>
      <w:r w:rsidR="007A6490">
        <w:t xml:space="preserve">reholders and management </w:t>
      </w:r>
      <w:r w:rsidR="00934849">
        <w:t xml:space="preserve">to be dealt with separately from that of </w:t>
      </w:r>
      <w:proofErr w:type="spellStart"/>
      <w:r w:rsidR="00934849">
        <w:t>Orthtouch</w:t>
      </w:r>
      <w:proofErr w:type="spellEnd"/>
      <w:r w:rsidR="00934849">
        <w:t xml:space="preserve">. </w:t>
      </w:r>
      <w:r w:rsidR="007A6490">
        <w:t xml:space="preserve">There are several existing outstanding court judgements against Zephan. Zephan also admits liability for claims by investors in HS21 and HS22 based on buy-back agreements, which do not relate to Orthotouch. </w:t>
      </w:r>
      <w:r w:rsidR="003D260E">
        <w:t>Th</w:t>
      </w:r>
      <w:r w:rsidR="00EB0ECD">
        <w:t>is</w:t>
      </w:r>
      <w:r w:rsidR="003D260E">
        <w:t xml:space="preserve"> </w:t>
      </w:r>
      <w:r w:rsidR="00EB0ECD">
        <w:t>plan, as was the intention of the Klopper-plan and the Scheme of Arrangement</w:t>
      </w:r>
      <w:r w:rsidR="00921DD4">
        <w:t xml:space="preserve"> </w:t>
      </w:r>
      <w:r w:rsidR="003D260E">
        <w:t>is</w:t>
      </w:r>
      <w:r w:rsidR="00921DD4">
        <w:t xml:space="preserve">, in my opinion, </w:t>
      </w:r>
      <w:r w:rsidR="003D260E">
        <w:t xml:space="preserve">a continued attempt to </w:t>
      </w:r>
      <w:r w:rsidR="00EB0ECD">
        <w:t xml:space="preserve">avoid </w:t>
      </w:r>
      <w:r w:rsidR="007A6490">
        <w:t xml:space="preserve">execution in terms of the judgements and/or </w:t>
      </w:r>
      <w:r w:rsidR="00EB0ECD">
        <w:t xml:space="preserve">liquidation </w:t>
      </w:r>
      <w:r w:rsidR="007A6490">
        <w:t xml:space="preserve">of Zephan </w:t>
      </w:r>
      <w:r w:rsidR="00EB0ECD">
        <w:t xml:space="preserve">and the consequences </w:t>
      </w:r>
      <w:r w:rsidR="007A6490">
        <w:t>flowing from that</w:t>
      </w:r>
      <w:r w:rsidR="00EB0ECD">
        <w:t xml:space="preserve">. </w:t>
      </w:r>
      <w:r w:rsidR="007A6490">
        <w:t>The two entities cannot and should therefore not be grouped for purposes of business rescue proceedings.</w:t>
      </w:r>
    </w:p>
    <w:p w14:paraId="18B4701B" w14:textId="32CD3EF6" w:rsidR="00EB0ECD" w:rsidRDefault="00EB0ECD" w:rsidP="00704A1E">
      <w:pPr>
        <w:jc w:val="both"/>
      </w:pPr>
      <w:r>
        <w:t xml:space="preserve">The investigation into the affairs of the </w:t>
      </w:r>
      <w:r w:rsidR="007A6490">
        <w:t xml:space="preserve">two </w:t>
      </w:r>
      <w:r>
        <w:t>compa</w:t>
      </w:r>
      <w:r w:rsidR="00C92F32">
        <w:t>n</w:t>
      </w:r>
      <w:r w:rsidR="007A6490">
        <w:t>ies</w:t>
      </w:r>
      <w:r>
        <w:t xml:space="preserve"> is lacking in that the practitioner randomly refers to his information sources such as the </w:t>
      </w:r>
      <w:r w:rsidR="00921DD4">
        <w:t xml:space="preserve">FAILED </w:t>
      </w:r>
      <w:r>
        <w:t xml:space="preserve">Klopper-plan and the SOA, as well as to selective court cases and publications made by an investigative journalist. The </w:t>
      </w:r>
      <w:r w:rsidR="00921DD4">
        <w:t xml:space="preserve">practitioner </w:t>
      </w:r>
      <w:r w:rsidR="007A6490">
        <w:t>fails to</w:t>
      </w:r>
      <w:r>
        <w:t xml:space="preserve"> address t</w:t>
      </w:r>
      <w:r w:rsidR="00921DD4">
        <w:t>he</w:t>
      </w:r>
      <w:r>
        <w:t xml:space="preserve"> impact of the failure </w:t>
      </w:r>
      <w:r w:rsidR="007A6490">
        <w:t xml:space="preserve">of the two schemes </w:t>
      </w:r>
      <w:r>
        <w:t xml:space="preserve">on the rights of the affected parties. </w:t>
      </w:r>
    </w:p>
    <w:p w14:paraId="34098A57" w14:textId="012D6944" w:rsidR="00EB0ECD" w:rsidRDefault="00EB0ECD" w:rsidP="00704A1E">
      <w:pPr>
        <w:jc w:val="both"/>
      </w:pPr>
      <w:r>
        <w:t>All references made to salient information (2020), attached as annexures to the plan are information and spreadsheets used in the so-called Klopper plan (2011) and the Scheme of Arrangement (201</w:t>
      </w:r>
      <w:r w:rsidR="007A6490">
        <w:t>4</w:t>
      </w:r>
      <w:r>
        <w:t xml:space="preserve">). The BRP uses the “previously” published information as being currently investigated and declare it as a true reflection of the state of affairs. </w:t>
      </w:r>
      <w:r w:rsidR="007A6490">
        <w:t>The practitioner fails to deal with the obvious over syndication of the properties initially sold to HS19 to HS22, which overinflated prices were paid to Zephan. Orthotouch again purchased these properties from HS19 to HS22 at the over inflated prices. However</w:t>
      </w:r>
      <w:r w:rsidR="00C92F32">
        <w:t>,</w:t>
      </w:r>
      <w:r w:rsidR="007A6490">
        <w:t xml:space="preserve"> these properties were sold at market value to Accelerate and other Georgiou related institutions causing a huge loss for Orthotouch. </w:t>
      </w:r>
      <w:r>
        <w:t>The vast discrepancies in the property values are not adequately explained and “finger trouble” at the Deeds office is concluded by the practitioner to be the main problem.</w:t>
      </w:r>
      <w:r w:rsidR="007A6490">
        <w:t xml:space="preserve"> All indications show that the property syndication schemes involving HS19 to HS22  were </w:t>
      </w:r>
      <w:r w:rsidR="007A6490">
        <w:lastRenderedPageBreak/>
        <w:t>nothing less than a fraudulent pro</w:t>
      </w:r>
      <w:r w:rsidR="00C92F32">
        <w:t>per</w:t>
      </w:r>
      <w:r w:rsidR="007A6490">
        <w:t xml:space="preserve">ty syndication scheme as referred to in the Consumer Protection Act which needs to be investigated. </w:t>
      </w:r>
      <w:r>
        <w:t>The current plan, as was omitted in the preceding Klopper- plan and SOA does not investigate the actual flow of funds. In short, the logical movement of funds will be the investments made by the investors into a dedicated bank account/s, account/s from which funds will flow in the acquisition of properties, cost</w:t>
      </w:r>
      <w:r w:rsidR="00C92F32">
        <w:t>-</w:t>
      </w:r>
      <w:r>
        <w:t xml:space="preserve">related </w:t>
      </w:r>
      <w:r w:rsidR="007A6490">
        <w:t>there</w:t>
      </w:r>
      <w:r>
        <w:t xml:space="preserve">to and then a paper trail which should be easily reconcilable with the transactions that have taken place.  Due to the absence of audited financial statements, no reliable deduction could have been made by the practitioner.  </w:t>
      </w:r>
    </w:p>
    <w:p w14:paraId="6B6B6404" w14:textId="1501C533" w:rsidR="00EB0ECD" w:rsidRDefault="00921DD4" w:rsidP="00704A1E">
      <w:pPr>
        <w:jc w:val="both"/>
      </w:pPr>
      <w:r>
        <w:t>No mention is made of reportable irregularities and no reports were done as the practitioner deems these suspect action as being bon</w:t>
      </w:r>
      <w:r w:rsidR="007A6490">
        <w:t>a</w:t>
      </w:r>
      <w:r>
        <w:t xml:space="preserve"> fi</w:t>
      </w:r>
      <w:r w:rsidR="007A6490">
        <w:t>de</w:t>
      </w:r>
      <w:r>
        <w:t xml:space="preserve"> actions. This m</w:t>
      </w:r>
      <w:r w:rsidR="00EB0ECD">
        <w:t>ay be out of ignorance or a lack of understanding of the definition of a reportable irregularity</w:t>
      </w:r>
      <w:r>
        <w:t xml:space="preserve">. </w:t>
      </w:r>
    </w:p>
    <w:p w14:paraId="70CBE935" w14:textId="0F988361" w:rsidR="00EB0ECD" w:rsidRDefault="00EB0ECD" w:rsidP="00704A1E">
      <w:pPr>
        <w:jc w:val="both"/>
      </w:pPr>
      <w:r>
        <w:t>For obvious reasons I cannot disclose what my advice to the investors will be</w:t>
      </w:r>
      <w:r w:rsidR="00921DD4">
        <w:t xml:space="preserve"> before I have had disclosed my final report to them.</w:t>
      </w:r>
    </w:p>
    <w:p w14:paraId="360375F8" w14:textId="77777777" w:rsidR="00EB0ECD" w:rsidRPr="003D260E" w:rsidRDefault="00EB0ECD" w:rsidP="00704A1E">
      <w:pPr>
        <w:jc w:val="both"/>
      </w:pPr>
    </w:p>
    <w:p w14:paraId="5685BD99" w14:textId="77777777" w:rsidR="00704A1E" w:rsidRPr="003D260E" w:rsidRDefault="00704A1E">
      <w:pPr>
        <w:jc w:val="both"/>
      </w:pPr>
    </w:p>
    <w:sectPr w:rsidR="00704A1E" w:rsidRPr="003D2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wNDI3MjUwMTY3MjNU0lEKTi0uzszPAykwqwUA6RP6pSwAAAA="/>
  </w:docVars>
  <w:rsids>
    <w:rsidRoot w:val="003D260E"/>
    <w:rsid w:val="00060560"/>
    <w:rsid w:val="003D260E"/>
    <w:rsid w:val="003F09AA"/>
    <w:rsid w:val="0058279B"/>
    <w:rsid w:val="005E47C5"/>
    <w:rsid w:val="00634E2E"/>
    <w:rsid w:val="00704A1E"/>
    <w:rsid w:val="007A6490"/>
    <w:rsid w:val="00921DD4"/>
    <w:rsid w:val="00934849"/>
    <w:rsid w:val="009A5881"/>
    <w:rsid w:val="00BF70C8"/>
    <w:rsid w:val="00C92F32"/>
    <w:rsid w:val="00CB30EA"/>
    <w:rsid w:val="00EB0E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171F"/>
  <w15:chartTrackingRefBased/>
  <w15:docId w15:val="{9601CD01-BE2A-4DE9-8F7A-AD9F889E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Holtzhauzen</dc:creator>
  <cp:keywords/>
  <dc:description/>
  <cp:lastModifiedBy>Ryk Van Niekerk</cp:lastModifiedBy>
  <cp:revision>2</cp:revision>
  <dcterms:created xsi:type="dcterms:W3CDTF">2020-04-28T16:39:00Z</dcterms:created>
  <dcterms:modified xsi:type="dcterms:W3CDTF">2020-04-28T16:39:00Z</dcterms:modified>
</cp:coreProperties>
</file>